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22A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(далее – административная процедура), осуществляемых органом местного самоуправления при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</w:t>
      </w: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</w:t>
      </w:r>
    </w:p>
    <w:p w:rsidR="0023722F" w:rsidRPr="00FA22A8" w:rsidRDefault="0023722F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Алексее</w:t>
      </w:r>
      <w:r w:rsidRPr="00FA22A8">
        <w:rPr>
          <w:rFonts w:ascii="Times New Roman" w:hAnsi="Times New Roman" w:cs="Times New Roman"/>
          <w:sz w:val="24"/>
          <w:szCs w:val="24"/>
        </w:rPr>
        <w:t>вский сельсовет Ташлинского района Оренбургской области.</w:t>
      </w:r>
    </w:p>
    <w:p w:rsidR="0023722F" w:rsidRPr="00FA22A8" w:rsidRDefault="0023722F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Почтовый адрес: 4611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FA22A8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>
        <w:rPr>
          <w:rFonts w:ascii="Times New Roman" w:hAnsi="Times New Roman" w:cs="Times New Roman"/>
          <w:sz w:val="24"/>
          <w:szCs w:val="24"/>
        </w:rPr>
        <w:t>Алексеевка,</w:t>
      </w:r>
      <w:r w:rsidRPr="00FA22A8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Советская, 30 в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23722F" w:rsidRPr="00291F4A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4"/>
          <w:szCs w:val="24"/>
          <w:lang w:val="en-US"/>
        </w:rPr>
        <w:t>alekseevkass</w:t>
      </w:r>
      <w:r w:rsidRPr="00291F4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1F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http://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A22A8">
        <w:rPr>
          <w:rFonts w:ascii="Times New Roman" w:hAnsi="Times New Roman" w:cs="Times New Roman"/>
          <w:sz w:val="24"/>
          <w:szCs w:val="24"/>
        </w:rPr>
        <w:t>.tl.orb.ru/.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23722F" w:rsidRPr="00FA22A8" w:rsidRDefault="0023722F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A22A8">
        <w:rPr>
          <w:rFonts w:ascii="Times New Roman" w:hAnsi="Times New Roman" w:cs="Times New Roman"/>
          <w:sz w:val="24"/>
          <w:szCs w:val="24"/>
        </w:rPr>
        <w:t>.00</w:t>
      </w:r>
    </w:p>
    <w:p w:rsidR="0023722F" w:rsidRPr="00FA22A8" w:rsidRDefault="0023722F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A22A8">
        <w:rPr>
          <w:rFonts w:ascii="Times New Roman" w:hAnsi="Times New Roman" w:cs="Times New Roman"/>
          <w:sz w:val="24"/>
          <w:szCs w:val="24"/>
        </w:rPr>
        <w:t>.00</w:t>
      </w:r>
    </w:p>
    <w:p w:rsidR="0023722F" w:rsidRPr="00FA22A8" w:rsidRDefault="0023722F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http://bd.tl.orb.ru/  (далее – официальный сайт), на информационных стендах в залах приёма заявителей в органе местного самоуправления.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23722F" w:rsidRPr="00FA22A8" w:rsidRDefault="0023722F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«Принятие решения о подготовке на основании документов территориального планирования документации по планировке территории».</w:t>
      </w: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12. Муниципальная услуга предоставляется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Алексее</w:t>
      </w:r>
      <w:r w:rsidRPr="00FA22A8">
        <w:rPr>
          <w:rFonts w:ascii="Times New Roman" w:hAnsi="Times New Roman" w:cs="Times New Roman"/>
          <w:sz w:val="24"/>
          <w:szCs w:val="24"/>
        </w:rPr>
        <w:t>вский сельсовет Ташлинского района Оренбургской области (далее – орган местного самоуправления).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23722F" w:rsidRPr="00FA22A8" w:rsidRDefault="0023722F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23722F" w:rsidRPr="00FA22A8" w:rsidRDefault="0023722F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3722F" w:rsidRPr="00FA22A8" w:rsidRDefault="0023722F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23722F" w:rsidRPr="00FA22A8" w:rsidRDefault="0023722F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23722F" w:rsidRPr="00FA22A8" w:rsidRDefault="0023722F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23722F" w:rsidRPr="00FA22A8" w:rsidRDefault="0023722F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23722F" w:rsidRPr="00FA22A8" w:rsidRDefault="0023722F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sz w:val="24"/>
          <w:szCs w:val="24"/>
        </w:rPr>
        <w:t>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3722F" w:rsidRPr="00291F4A" w:rsidRDefault="0023722F" w:rsidP="00FA22A8">
      <w:pPr>
        <w:pStyle w:val="ListParagraph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291F4A">
        <w:rPr>
          <w:rFonts w:ascii="Times New Roman" w:hAnsi="Times New Roman" w:cs="Times New Roman"/>
        </w:rPr>
        <w:t>1) В случае подачи заявления в электронной форме через Портал:</w:t>
      </w:r>
    </w:p>
    <w:p w:rsidR="0023722F" w:rsidRPr="00FA22A8" w:rsidRDefault="0023722F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3722F" w:rsidRPr="00FA22A8" w:rsidRDefault="0023722F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23722F" w:rsidRPr="00291F4A" w:rsidRDefault="0023722F" w:rsidP="00FA22A8">
      <w:pPr>
        <w:pStyle w:val="ListParagraph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291F4A">
        <w:rPr>
          <w:rFonts w:ascii="Times New Roman" w:hAnsi="Times New Roman" w:cs="Times New Roman"/>
        </w:rPr>
        <w:t>2) В случае подачи заявления через МФЦ (при наличии Соглашения):</w:t>
      </w:r>
    </w:p>
    <w:p w:rsidR="0023722F" w:rsidRPr="00FA22A8" w:rsidRDefault="0023722F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3722F" w:rsidRPr="00FA22A8" w:rsidRDefault="0023722F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23722F" w:rsidRPr="00FA22A8" w:rsidRDefault="0023722F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23722F" w:rsidRPr="00FA22A8" w:rsidRDefault="0023722F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3722F" w:rsidRPr="00FA22A8" w:rsidRDefault="0023722F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23722F" w:rsidRPr="00FA22A8" w:rsidRDefault="0023722F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«Южный Урал», № 60, (спецвыпуск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23722F" w:rsidRPr="00FA22A8" w:rsidRDefault="0023722F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23722F" w:rsidRPr="00FA22A8" w:rsidRDefault="0023722F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23722F" w:rsidRPr="00FA22A8" w:rsidRDefault="0023722F" w:rsidP="00FA22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23722F" w:rsidRPr="00FA22A8" w:rsidRDefault="0023722F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23722F" w:rsidRPr="00FA22A8" w:rsidRDefault="0023722F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не может являться основанием для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23722F" w:rsidRPr="00FA22A8" w:rsidRDefault="0023722F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23722F" w:rsidRPr="00FA22A8" w:rsidRDefault="0023722F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23722F" w:rsidRPr="00FA22A8" w:rsidRDefault="0023722F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23722F" w:rsidRPr="00FA22A8" w:rsidRDefault="0023722F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23722F" w:rsidRPr="00FA22A8" w:rsidRDefault="0023722F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23722F" w:rsidRPr="00FA22A8" w:rsidRDefault="0023722F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23722F" w:rsidRPr="00FA22A8" w:rsidRDefault="0023722F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23722F" w:rsidRPr="00FA22A8" w:rsidRDefault="0023722F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1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2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3"/>
      <w:bookmarkEnd w:id="4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4"/>
      <w:bookmarkEnd w:id="5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bookmarkEnd w:id="6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23722F" w:rsidRPr="00FA22A8" w:rsidRDefault="0023722F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23722F" w:rsidRPr="00FA22A8" w:rsidRDefault="0023722F" w:rsidP="00FA22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23722F" w:rsidRPr="00FA22A8" w:rsidRDefault="0023722F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23722F" w:rsidRPr="00FA22A8" w:rsidRDefault="0023722F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документа (постановления) о принятом решении о подготовке на основании документов территориального планирования документации по планировке территории (мотивированного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территории).</w:t>
      </w:r>
    </w:p>
    <w:p w:rsidR="0023722F" w:rsidRPr="00FA22A8" w:rsidRDefault="0023722F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>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>в 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запроса;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приём и регистрация органом местного самоуправления запроса и иных документов, необходимых для предоставления услуги;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документов, их регистрация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23722F" w:rsidRPr="00FA22A8" w:rsidRDefault="0023722F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необходимых для предоставления муниципальной услуги,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которые находятся в распоряжении государственных органов, органов местного самоуправления и иных организаций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(отказ в предоставлении муниципальной услуги)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63. Уполномоченные должностные лица органа местного самоуправления готовят проект постановления о принятии решения о подготовке на основании документов территориального планирования документации по планировке территории и представляют его уполномоченному должностному лицу органа местного самоуправления для подписания.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в принятии решения о подготовке на основании документов территориального планирования документации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23722F" w:rsidRPr="00291F4A" w:rsidRDefault="0023722F" w:rsidP="00FA22A8">
      <w:pPr>
        <w:pStyle w:val="ListParagraph"/>
        <w:widowControl w:val="0"/>
        <w:autoSpaceDE w:val="0"/>
        <w:autoSpaceDN w:val="0"/>
        <w:ind w:left="0" w:firstLine="567"/>
        <w:jc w:val="both"/>
        <w:rPr>
          <w:rFonts w:ascii="Times New Roman" w:hAnsi="Times New Roman" w:cs="Times New Roman"/>
        </w:rPr>
      </w:pPr>
      <w:r w:rsidRPr="00291F4A">
        <w:rPr>
          <w:rFonts w:ascii="Times New Roman" w:hAnsi="Times New Roman" w:cs="Times New Roman"/>
        </w:rP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</w:t>
      </w:r>
      <w:r w:rsidRPr="00FA22A8">
        <w:t xml:space="preserve"> </w:t>
      </w:r>
      <w:r w:rsidRPr="00291F4A">
        <w:rPr>
          <w:rFonts w:ascii="Times New Roman" w:hAnsi="Times New Roman" w:cs="Times New Roman"/>
        </w:rPr>
        <w:t xml:space="preserve">архива </w:t>
      </w:r>
      <w:r w:rsidRPr="00291F4A">
        <w:rPr>
          <w:rFonts w:ascii="Times New Roman" w:hAnsi="Times New Roman" w:cs="Times New Roman"/>
          <w:lang w:val="en-US"/>
        </w:rPr>
        <w:t>zip</w:t>
      </w:r>
      <w:r w:rsidRPr="00291F4A">
        <w:rPr>
          <w:rFonts w:ascii="Times New Roman" w:hAnsi="Times New Roman" w:cs="Times New Roman"/>
        </w:rPr>
        <w:t xml:space="preserve"> направляются в личный кабинет заявителя).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на решение и (или) действие (бездействие) органа местного самоуправления,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его должностных лиц при предоставлении муниципальной услуги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Предмет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которым может быть направлена жалоба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84. Жалоба рассматривается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Алексее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вский сельсовет, предоставляющей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 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8" w:name="Par11"/>
      <w:bookmarkEnd w:id="8"/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подачи и рассмотрения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85. Жалоба подаётся в письменной форме на бумажном носителе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23722F" w:rsidRPr="00FA22A8" w:rsidRDefault="0023722F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1) почтовый адрес: </w:t>
      </w:r>
      <w:r w:rsidRPr="00FA22A8">
        <w:rPr>
          <w:rFonts w:ascii="Times New Roman" w:hAnsi="Times New Roman" w:cs="Times New Roman"/>
          <w:sz w:val="24"/>
          <w:szCs w:val="24"/>
        </w:rPr>
        <w:t>4611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FA22A8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>
        <w:rPr>
          <w:rFonts w:ascii="Times New Roman" w:hAnsi="Times New Roman" w:cs="Times New Roman"/>
          <w:sz w:val="24"/>
          <w:szCs w:val="24"/>
        </w:rPr>
        <w:t xml:space="preserve">Алексеевка, </w:t>
      </w:r>
      <w:r w:rsidRPr="00FA22A8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Советская, 30 в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alekseevkass</w:t>
      </w:r>
      <w:r w:rsidRPr="00B45BF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45B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FA22A8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A22A8">
        <w:rPr>
          <w:rFonts w:ascii="Times New Roman" w:hAnsi="Times New Roman" w:cs="Times New Roman"/>
          <w:sz w:val="24"/>
          <w:szCs w:val="24"/>
        </w:rPr>
        <w:t>.tl.orb.ru/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Портал, электронный адрес: www.gosuslugi.ru.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Сроки рассмотрения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9" w:name="Par25"/>
      <w:bookmarkEnd w:id="9"/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Результат рассмотрения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Layout w:type="fixed"/>
        <w:tblLook w:val="00A0"/>
      </w:tblPr>
      <w:tblGrid>
        <w:gridCol w:w="9889"/>
      </w:tblGrid>
      <w:tr w:rsidR="0023722F" w:rsidRPr="00643BBF">
        <w:tc>
          <w:tcPr>
            <w:tcW w:w="9889" w:type="dxa"/>
          </w:tcPr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23722F" w:rsidRPr="00643BBF" w:rsidRDefault="0023722F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23722F" w:rsidRPr="00643BBF" w:rsidRDefault="0023722F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эл. почта: _______________________________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23722F" w:rsidRPr="00FA22A8" w:rsidRDefault="0023722F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показатели)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1.1. Место расположения земельного участка:  _____________________________________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23722F" w:rsidRPr="00FA22A8" w:rsidRDefault="0023722F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23722F" w:rsidRPr="00FA22A8" w:rsidRDefault="0023722F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принявшего документы                        __________     ______________________</w:t>
      </w:r>
    </w:p>
    <w:p w:rsidR="0023722F" w:rsidRPr="00FA22A8" w:rsidRDefault="0023722F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произвести регистрацию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3722F" w:rsidRPr="00FA22A8" w:rsidRDefault="0023722F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23722F" w:rsidRPr="00FA22A8" w:rsidRDefault="0023722F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23722F" w:rsidRPr="00FA22A8" w:rsidRDefault="0023722F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кем выдан - _________________________________________________________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23722F" w:rsidRPr="00FA22A8" w:rsidRDefault="0023722F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  <w:t xml:space="preserve">          Приложение № 2 </w:t>
      </w:r>
    </w:p>
    <w:p w:rsidR="0023722F" w:rsidRPr="00FA22A8" w:rsidRDefault="0023722F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23722F" w:rsidRPr="00FA22A8" w:rsidRDefault="0023722F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23722F" w:rsidRPr="00FA22A8" w:rsidRDefault="0023722F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23722F" w:rsidRPr="00FA22A8" w:rsidRDefault="0023722F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23722F" w:rsidRPr="00643BBF">
        <w:tc>
          <w:tcPr>
            <w:tcW w:w="9570" w:type="dxa"/>
            <w:gridSpan w:val="7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2942" w:type="dxa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23722F" w:rsidRPr="00643BB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23722F" w:rsidRPr="00643BB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4502" w:type="dxa"/>
            <w:gridSpan w:val="3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23722F" w:rsidRPr="00643BB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22F" w:rsidRPr="00643BBF">
        <w:tc>
          <w:tcPr>
            <w:tcW w:w="9570" w:type="dxa"/>
            <w:gridSpan w:val="7"/>
          </w:tcPr>
          <w:p w:rsidR="0023722F" w:rsidRPr="00FA22A8" w:rsidRDefault="0023722F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решения о 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643BBF">
              <w:rPr>
                <w:rFonts w:ascii="Times New Roman" w:hAnsi="Times New Roman" w:cs="Times New Roman"/>
                <w:sz w:val="24"/>
                <w:szCs w:val="24"/>
              </w:rPr>
              <w:t>в принятии решения о 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3722F" w:rsidRPr="00FA22A8" w:rsidRDefault="002372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722F" w:rsidRPr="00FA22A8" w:rsidRDefault="0023722F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2F" w:rsidRPr="00FA22A8" w:rsidRDefault="0023722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22F" w:rsidRPr="00FA22A8" w:rsidSect="00304145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2F" w:rsidRDefault="0023722F" w:rsidP="004C21AE">
      <w:pPr>
        <w:spacing w:after="0" w:line="240" w:lineRule="auto"/>
      </w:pPr>
      <w:r>
        <w:separator/>
      </w:r>
    </w:p>
  </w:endnote>
  <w:endnote w:type="continuationSeparator" w:id="0">
    <w:p w:rsidR="0023722F" w:rsidRDefault="0023722F" w:rsidP="004C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2F" w:rsidRDefault="0023722F" w:rsidP="004C21AE">
      <w:pPr>
        <w:spacing w:after="0" w:line="240" w:lineRule="auto"/>
      </w:pPr>
      <w:r>
        <w:separator/>
      </w:r>
    </w:p>
  </w:footnote>
  <w:footnote w:type="continuationSeparator" w:id="0">
    <w:p w:rsidR="0023722F" w:rsidRDefault="0023722F" w:rsidP="004C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2F" w:rsidRDefault="0023722F">
    <w:pPr>
      <w:pStyle w:val="Header"/>
      <w:jc w:val="center"/>
    </w:pPr>
  </w:p>
  <w:p w:rsidR="0023722F" w:rsidRDefault="0023722F" w:rsidP="00320E9B">
    <w:pPr>
      <w:pStyle w:val="Header"/>
      <w:tabs>
        <w:tab w:val="clear" w:pos="4153"/>
      </w:tabs>
      <w:jc w:val="center"/>
    </w:pPr>
    <w:fldSimple w:instr="PAGE   \* MERGEFORMAT">
      <w:r>
        <w:rPr>
          <w:noProof/>
        </w:rPr>
        <w:t>1</w:t>
      </w:r>
    </w:fldSimple>
  </w:p>
  <w:p w:rsidR="0023722F" w:rsidRDefault="002372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2A8"/>
    <w:rsid w:val="0023722F"/>
    <w:rsid w:val="002419ED"/>
    <w:rsid w:val="00291F4A"/>
    <w:rsid w:val="00304145"/>
    <w:rsid w:val="00320E9B"/>
    <w:rsid w:val="00336523"/>
    <w:rsid w:val="004C21AE"/>
    <w:rsid w:val="004D3D26"/>
    <w:rsid w:val="005C31E0"/>
    <w:rsid w:val="00643BBF"/>
    <w:rsid w:val="00872A5F"/>
    <w:rsid w:val="00B45BF9"/>
    <w:rsid w:val="00B81B22"/>
    <w:rsid w:val="00D113B2"/>
    <w:rsid w:val="00DA18C2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A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22A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A2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FA22A8"/>
    <w:pPr>
      <w:spacing w:after="0" w:line="240" w:lineRule="auto"/>
      <w:ind w:left="720"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hAnsi="Courier New" w:cs="Courier New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21</Pages>
  <Words>8932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болдырево</dc:creator>
  <cp:keywords/>
  <dc:description/>
  <cp:lastModifiedBy>Алексеевка</cp:lastModifiedBy>
  <cp:revision>3</cp:revision>
  <dcterms:created xsi:type="dcterms:W3CDTF">2018-01-29T10:49:00Z</dcterms:created>
  <dcterms:modified xsi:type="dcterms:W3CDTF">2018-01-30T05:05:00Z</dcterms:modified>
</cp:coreProperties>
</file>